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10230–ОТПП/2/24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Испытательная климатическая камера холода-тепла-влаги "Патриот", 00-000043.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2 898 903.60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10230–ОТПП/2/24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Мунтанилов Виталий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(ИНН:132707983505)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23:04:12;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ООО "ТЕРА"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(ОГРН:1207700495793)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17:53:16;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Мунтанилов Виталий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873 333.00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23:04:12.168340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"ТЕРА"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17:53:16.183763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"ТЕРА"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Саранск, ул. Осипенко д.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931 000.00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