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       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 xml:space="preserve">___ » _____________ 20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Общество с ограниченной ответственностью «УралБидИн» (ООО «УралБидИн»),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, именуемый в дальнейшем «Участник торгов», в лице_________________, действующего на </w:t>
      </w:r>
      <w:proofErr w:type="gramStart"/>
      <w:r>
        <w:rPr>
          <w:sz w:val="23"/>
          <w:szCs w:val="23"/>
        </w:rPr>
        <w:t>основании ,</w:t>
      </w:r>
      <w:proofErr w:type="gramEnd"/>
      <w:r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 w:rsidR="0066125D">
        <w:rPr>
          <w:sz w:val="23"/>
          <w:szCs w:val="23"/>
        </w:rPr>
        <w:t xml:space="preserve"> </w:t>
      </w:r>
      <w:r w:rsidR="0066125D" w:rsidRPr="0066125D">
        <w:rPr>
          <w:bCs/>
          <w:sz w:val="23"/>
          <w:szCs w:val="23"/>
          <w:lang w:bidi="ru-RU"/>
        </w:rPr>
        <w:t>Общество с ограниченной ответственностью «М-</w:t>
      </w:r>
      <w:proofErr w:type="spellStart"/>
      <w:r w:rsidR="0066125D" w:rsidRPr="0066125D">
        <w:rPr>
          <w:bCs/>
          <w:sz w:val="23"/>
          <w:szCs w:val="23"/>
          <w:lang w:bidi="ru-RU"/>
        </w:rPr>
        <w:t>Коммерцъ</w:t>
      </w:r>
      <w:proofErr w:type="spellEnd"/>
      <w:r w:rsidR="0066125D" w:rsidRPr="0066125D">
        <w:rPr>
          <w:bCs/>
          <w:sz w:val="23"/>
          <w:szCs w:val="23"/>
          <w:lang w:bidi="ru-RU"/>
        </w:rPr>
        <w:t>»</w:t>
      </w:r>
      <w:r>
        <w:rPr>
          <w:sz w:val="23"/>
          <w:szCs w:val="23"/>
        </w:rPr>
        <w:t xml:space="preserve"> </w:t>
      </w:r>
      <w:r w:rsidR="0066125D">
        <w:rPr>
          <w:sz w:val="23"/>
          <w:szCs w:val="23"/>
        </w:rPr>
        <w:t xml:space="preserve">(ООО </w:t>
      </w:r>
      <w:r w:rsidR="0066125D" w:rsidRPr="0066125D">
        <w:rPr>
          <w:bCs/>
          <w:sz w:val="23"/>
          <w:szCs w:val="23"/>
          <w:lang w:bidi="ru-RU"/>
        </w:rPr>
        <w:t>«М-</w:t>
      </w:r>
      <w:proofErr w:type="spellStart"/>
      <w:r w:rsidR="0066125D" w:rsidRPr="0066125D">
        <w:rPr>
          <w:bCs/>
          <w:sz w:val="23"/>
          <w:szCs w:val="23"/>
          <w:lang w:bidi="ru-RU"/>
        </w:rPr>
        <w:t>Коммерцъ</w:t>
      </w:r>
      <w:proofErr w:type="spellEnd"/>
      <w:r w:rsidR="0066125D" w:rsidRPr="0066125D">
        <w:rPr>
          <w:bCs/>
          <w:sz w:val="23"/>
          <w:szCs w:val="23"/>
          <w:lang w:bidi="ru-RU"/>
        </w:rPr>
        <w:t>»</w:t>
      </w:r>
      <w:r w:rsidR="0066125D">
        <w:rPr>
          <w:sz w:val="23"/>
          <w:szCs w:val="23"/>
        </w:rPr>
        <w:t>)</w:t>
      </w:r>
      <w:r>
        <w:rPr>
          <w:sz w:val="23"/>
          <w:szCs w:val="23"/>
        </w:rPr>
        <w:t>, именуемый в дальнейшем «Организатор торгов», в лице</w:t>
      </w:r>
      <w:r w:rsidR="0066125D" w:rsidRPr="0066125D">
        <w:t xml:space="preserve"> </w:t>
      </w:r>
      <w:r w:rsidR="0066125D" w:rsidRPr="0066125D">
        <w:rPr>
          <w:sz w:val="23"/>
          <w:szCs w:val="23"/>
        </w:rPr>
        <w:t xml:space="preserve">генерального директора </w:t>
      </w:r>
      <w:proofErr w:type="spellStart"/>
      <w:r w:rsidR="0066125D" w:rsidRPr="0066125D">
        <w:rPr>
          <w:sz w:val="23"/>
          <w:szCs w:val="23"/>
        </w:rPr>
        <w:t>Гаськова</w:t>
      </w:r>
      <w:proofErr w:type="spellEnd"/>
      <w:r w:rsidR="0066125D" w:rsidRPr="0066125D">
        <w:rPr>
          <w:sz w:val="23"/>
          <w:szCs w:val="23"/>
        </w:rPr>
        <w:t xml:space="preserve"> Вадима Геннадьевича</w:t>
      </w:r>
      <w:r>
        <w:rPr>
          <w:sz w:val="23"/>
          <w:szCs w:val="23"/>
        </w:rPr>
        <w:t xml:space="preserve"> действующего на основании </w:t>
      </w:r>
      <w:r w:rsidR="0066125D">
        <w:rPr>
          <w:sz w:val="23"/>
          <w:szCs w:val="23"/>
        </w:rPr>
        <w:t>Устава</w:t>
      </w:r>
      <w:r>
        <w:rPr>
          <w:sz w:val="23"/>
          <w:szCs w:val="23"/>
        </w:rPr>
        <w:t xml:space="preserve"> 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спец</w:t>
      </w:r>
      <w:proofErr w:type="gramEnd"/>
      <w:r w:rsidR="00410BFC">
        <w:rPr>
          <w:sz w:val="23"/>
          <w:szCs w:val="23"/>
        </w:rPr>
        <w:t xml:space="preserve">/счет: </w:t>
      </w:r>
      <w:r w:rsidRPr="009768DA">
        <w:rPr>
          <w:sz w:val="23"/>
          <w:szCs w:val="23"/>
        </w:rPr>
        <w:t>Счет: 40702810712020600067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Филиал "Корпоративный" ПАО "</w:t>
      </w:r>
      <w:proofErr w:type="spellStart"/>
      <w:r w:rsidRPr="009768DA">
        <w:rPr>
          <w:sz w:val="23"/>
          <w:szCs w:val="23"/>
        </w:rPr>
        <w:t>Совкомбанк</w:t>
      </w:r>
      <w:proofErr w:type="spellEnd"/>
      <w:r w:rsidRPr="009768DA">
        <w:rPr>
          <w:sz w:val="23"/>
          <w:szCs w:val="23"/>
        </w:rPr>
        <w:t>" (г. Москва)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>/с 30101810445250000360, БИК 044525360</w:t>
      </w:r>
    </w:p>
    <w:p w:rsid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>SWIFT: SOMRRUMMXXX (для получения переводов в рублях от нерезидентов)</w:t>
      </w: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или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 xml:space="preserve">торговой процедуры или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</w:t>
      </w:r>
      <w:r>
        <w:rPr>
          <w:color w:val="auto"/>
          <w:sz w:val="23"/>
          <w:szCs w:val="23"/>
        </w:rPr>
        <w:lastRenderedPageBreak/>
        <w:t xml:space="preserve">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 xml:space="preserve"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«Задаток для участия в торгах (пополнение лицевого счета №), НДС не облагается», где после № указывается номер лицевого счета Участника торгов на площадке.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 xml:space="preserve">№ </w:t>
      </w:r>
      <w:r>
        <w:rPr>
          <w:sz w:val="23"/>
          <w:szCs w:val="23"/>
        </w:rPr>
        <w:t xml:space="preserve">(пополнение лицевого счета №), НДС не облагается.", где после № указывается </w:t>
      </w:r>
      <w:r w:rsidR="00A91435">
        <w:rPr>
          <w:sz w:val="23"/>
          <w:szCs w:val="23"/>
        </w:rPr>
        <w:t xml:space="preserve">номер торговой процедуры или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</w:t>
      </w:r>
      <w:r>
        <w:rPr>
          <w:color w:val="auto"/>
          <w:sz w:val="23"/>
          <w:szCs w:val="23"/>
        </w:rPr>
        <w:lastRenderedPageBreak/>
        <w:t xml:space="preserve">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ООО «УралБидИн»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92B16" w:rsidRDefault="00F86403" w:rsidP="00F864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B15F1C" w:rsidRDefault="00B15F1C" w:rsidP="00B15F1C">
            <w:pPr>
              <w:pStyle w:val="Default"/>
              <w:jc w:val="center"/>
              <w:rPr>
                <w:b/>
                <w:bCs/>
                <w:sz w:val="23"/>
                <w:szCs w:val="23"/>
                <w:lang w:bidi="ru-RU"/>
              </w:rPr>
            </w:pPr>
            <w:bookmarkStart w:id="0" w:name="bookmark1"/>
            <w:r w:rsidRPr="00B15F1C">
              <w:rPr>
                <w:b/>
                <w:bCs/>
                <w:sz w:val="23"/>
                <w:szCs w:val="23"/>
                <w:lang w:bidi="ru-RU"/>
              </w:rPr>
              <w:t>ООО «М-</w:t>
            </w:r>
            <w:proofErr w:type="spellStart"/>
            <w:r w:rsidRPr="00B15F1C">
              <w:rPr>
                <w:b/>
                <w:bCs/>
                <w:sz w:val="23"/>
                <w:szCs w:val="23"/>
                <w:lang w:bidi="ru-RU"/>
              </w:rPr>
              <w:t>Коммерцъ</w:t>
            </w:r>
            <w:proofErr w:type="spellEnd"/>
            <w:r w:rsidRPr="00B15F1C">
              <w:rPr>
                <w:b/>
                <w:bCs/>
                <w:sz w:val="23"/>
                <w:szCs w:val="23"/>
                <w:lang w:bidi="ru-RU"/>
              </w:rPr>
              <w:t>»</w:t>
            </w:r>
            <w:bookmarkEnd w:id="0"/>
          </w:p>
          <w:p w:rsidR="00B15F1C" w:rsidRPr="00B15F1C" w:rsidRDefault="00B15F1C" w:rsidP="00B15F1C">
            <w:pPr>
              <w:pStyle w:val="Default"/>
              <w:jc w:val="center"/>
              <w:rPr>
                <w:b/>
                <w:bCs/>
                <w:sz w:val="23"/>
                <w:szCs w:val="23"/>
                <w:lang w:bidi="ru-RU"/>
              </w:rPr>
            </w:pPr>
          </w:p>
          <w:p w:rsidR="00B15F1C" w:rsidRPr="00B15F1C" w:rsidRDefault="00B15F1C" w:rsidP="00B15F1C">
            <w:pPr>
              <w:pStyle w:val="Default"/>
              <w:rPr>
                <w:sz w:val="23"/>
                <w:szCs w:val="23"/>
                <w:lang w:bidi="ru-RU"/>
              </w:rPr>
            </w:pPr>
            <w:r w:rsidRPr="00B15F1C">
              <w:rPr>
                <w:sz w:val="23"/>
                <w:szCs w:val="23"/>
                <w:lang w:bidi="ru-RU"/>
              </w:rPr>
              <w:t>603028, г. Н. Новгород, Комсомольское</w:t>
            </w:r>
          </w:p>
          <w:p w:rsidR="00B15F1C" w:rsidRPr="00B15F1C" w:rsidRDefault="00B15F1C" w:rsidP="00B15F1C">
            <w:pPr>
              <w:pStyle w:val="Default"/>
              <w:rPr>
                <w:sz w:val="23"/>
                <w:szCs w:val="23"/>
                <w:lang w:bidi="ru-RU"/>
              </w:rPr>
            </w:pPr>
            <w:proofErr w:type="gramStart"/>
            <w:r w:rsidRPr="00B15F1C">
              <w:rPr>
                <w:sz w:val="23"/>
                <w:szCs w:val="23"/>
                <w:lang w:bidi="ru-RU"/>
              </w:rPr>
              <w:t>шоссе</w:t>
            </w:r>
            <w:proofErr w:type="gramEnd"/>
            <w:r w:rsidRPr="00B15F1C">
              <w:rPr>
                <w:sz w:val="23"/>
                <w:szCs w:val="23"/>
                <w:lang w:bidi="ru-RU"/>
              </w:rPr>
              <w:t xml:space="preserve">, д.5, оф.410 </w:t>
            </w:r>
          </w:p>
          <w:p w:rsidR="00B15F1C" w:rsidRDefault="00B15F1C" w:rsidP="00B15F1C">
            <w:pPr>
              <w:pStyle w:val="Default"/>
              <w:rPr>
                <w:sz w:val="23"/>
                <w:szCs w:val="23"/>
                <w:lang w:bidi="ru-RU"/>
              </w:rPr>
            </w:pPr>
            <w:r>
              <w:rPr>
                <w:sz w:val="23"/>
                <w:szCs w:val="23"/>
                <w:lang w:bidi="ru-RU"/>
              </w:rPr>
              <w:t>ИНН 5262280354</w:t>
            </w:r>
          </w:p>
          <w:p w:rsidR="00B15F1C" w:rsidRPr="00B15F1C" w:rsidRDefault="00B15F1C" w:rsidP="00B15F1C">
            <w:pPr>
              <w:pStyle w:val="Default"/>
              <w:rPr>
                <w:sz w:val="23"/>
                <w:szCs w:val="23"/>
                <w:lang w:bidi="ru-RU"/>
              </w:rPr>
            </w:pPr>
            <w:r w:rsidRPr="00B15F1C">
              <w:rPr>
                <w:sz w:val="23"/>
                <w:szCs w:val="23"/>
                <w:lang w:bidi="ru-RU"/>
              </w:rPr>
              <w:t>КПП 525701001</w:t>
            </w:r>
          </w:p>
          <w:p w:rsidR="00B15F1C" w:rsidRDefault="00B15F1C" w:rsidP="00B15F1C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B15F1C" w:rsidRDefault="00B15F1C" w:rsidP="00B15F1C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B15F1C" w:rsidRDefault="00B15F1C" w:rsidP="00B15F1C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B15F1C" w:rsidRDefault="00B15F1C" w:rsidP="00B15F1C">
            <w:pPr>
              <w:pStyle w:val="Default"/>
              <w:jc w:val="center"/>
              <w:rPr>
                <w:sz w:val="23"/>
                <w:szCs w:val="23"/>
              </w:rPr>
            </w:pPr>
            <w:r w:rsidRPr="00B15F1C">
              <w:rPr>
                <w:sz w:val="23"/>
                <w:szCs w:val="23"/>
              </w:rPr>
              <w:t xml:space="preserve">Генеральный директор </w:t>
            </w:r>
          </w:p>
          <w:p w:rsidR="00B15F1C" w:rsidRDefault="00B15F1C" w:rsidP="00B15F1C">
            <w:pPr>
              <w:pStyle w:val="Default"/>
              <w:jc w:val="center"/>
              <w:rPr>
                <w:sz w:val="23"/>
                <w:szCs w:val="23"/>
              </w:rPr>
            </w:pPr>
            <w:bookmarkStart w:id="1" w:name="_GoBack"/>
            <w:bookmarkEnd w:id="1"/>
            <w:r w:rsidRPr="00B15F1C">
              <w:rPr>
                <w:sz w:val="23"/>
                <w:szCs w:val="23"/>
              </w:rPr>
              <w:t>ООО «М-</w:t>
            </w:r>
            <w:proofErr w:type="spellStart"/>
            <w:r w:rsidRPr="00B15F1C">
              <w:rPr>
                <w:sz w:val="23"/>
                <w:szCs w:val="23"/>
              </w:rPr>
              <w:t>Коммерцъ</w:t>
            </w:r>
            <w:proofErr w:type="spellEnd"/>
            <w:r w:rsidRPr="00B15F1C">
              <w:rPr>
                <w:sz w:val="23"/>
                <w:szCs w:val="23"/>
              </w:rPr>
              <w:t>»</w:t>
            </w:r>
          </w:p>
          <w:p w:rsidR="00B15F1C" w:rsidRDefault="00B15F1C" w:rsidP="00B15F1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B15F1C" w:rsidRPr="00B15F1C" w:rsidRDefault="00B15F1C" w:rsidP="00B15F1C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Гаськов</w:t>
            </w:r>
            <w:proofErr w:type="spellEnd"/>
            <w:r>
              <w:rPr>
                <w:sz w:val="23"/>
                <w:szCs w:val="23"/>
              </w:rPr>
              <w:t xml:space="preserve"> В.Г.</w:t>
            </w:r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06" w:rsidRDefault="00D92B06" w:rsidP="00F30758">
      <w:pPr>
        <w:spacing w:after="0" w:line="240" w:lineRule="auto"/>
      </w:pPr>
      <w:r>
        <w:separator/>
      </w:r>
    </w:p>
  </w:endnote>
  <w:endnote w:type="continuationSeparator" w:id="0">
    <w:p w:rsidR="00D92B06" w:rsidRDefault="00D92B06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F1C">
          <w:rPr>
            <w:noProof/>
          </w:rPr>
          <w:t>2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06" w:rsidRDefault="00D92B06" w:rsidP="00F30758">
      <w:pPr>
        <w:spacing w:after="0" w:line="240" w:lineRule="auto"/>
      </w:pPr>
      <w:r>
        <w:separator/>
      </w:r>
    </w:p>
  </w:footnote>
  <w:footnote w:type="continuationSeparator" w:id="0">
    <w:p w:rsidR="00D92B06" w:rsidRDefault="00D92B06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232C09"/>
    <w:rsid w:val="002E6D94"/>
    <w:rsid w:val="003659FF"/>
    <w:rsid w:val="00395A35"/>
    <w:rsid w:val="00410BFC"/>
    <w:rsid w:val="00475D57"/>
    <w:rsid w:val="00524125"/>
    <w:rsid w:val="00553B6A"/>
    <w:rsid w:val="005977EA"/>
    <w:rsid w:val="00611B05"/>
    <w:rsid w:val="00633DAE"/>
    <w:rsid w:val="0066125D"/>
    <w:rsid w:val="0081493A"/>
    <w:rsid w:val="0084095E"/>
    <w:rsid w:val="00897C1F"/>
    <w:rsid w:val="009759CA"/>
    <w:rsid w:val="009768DA"/>
    <w:rsid w:val="00A15879"/>
    <w:rsid w:val="00A616EE"/>
    <w:rsid w:val="00A91435"/>
    <w:rsid w:val="00B15F1C"/>
    <w:rsid w:val="00B92B16"/>
    <w:rsid w:val="00D92B06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7</cp:revision>
  <cp:lastPrinted>2024-02-05T10:36:00Z</cp:lastPrinted>
  <dcterms:created xsi:type="dcterms:W3CDTF">2024-01-25T13:18:00Z</dcterms:created>
  <dcterms:modified xsi:type="dcterms:W3CDTF">2024-02-16T14:00:00Z</dcterms:modified>
</cp:coreProperties>
</file>